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1B15A" w14:textId="44277047" w:rsidR="00505711" w:rsidRPr="00C6718A" w:rsidRDefault="00C6718A" w:rsidP="00C6718A">
      <w:pPr>
        <w:jc w:val="center"/>
        <w:rPr>
          <w:rFonts w:ascii="Calibri" w:hAnsi="Calibri" w:cs="Calibri"/>
          <w:b/>
          <w:bCs/>
          <w:sz w:val="28"/>
          <w:szCs w:val="28"/>
        </w:rPr>
      </w:pPr>
      <w:r w:rsidRPr="00C6718A">
        <w:rPr>
          <w:rFonts w:ascii="Calibri" w:hAnsi="Calibri" w:cs="Calibri"/>
          <w:b/>
          <w:bCs/>
          <w:sz w:val="28"/>
          <w:szCs w:val="28"/>
        </w:rPr>
        <w:t>Graduate Program Level Learning Objectives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6"/>
        <w:gridCol w:w="5647"/>
        <w:gridCol w:w="2091"/>
      </w:tblGrid>
      <w:tr w:rsidR="00C6718A" w:rsidRPr="00C6718A" w14:paraId="29B17DBB" w14:textId="77777777" w:rsidTr="00762D3D">
        <w:trPr>
          <w:trHeight w:val="615"/>
        </w:trPr>
        <w:tc>
          <w:tcPr>
            <w:tcW w:w="1755" w:type="dxa"/>
            <w:tcBorders>
              <w:top w:val="single" w:sz="6" w:space="0" w:color="000000"/>
              <w:left w:val="single" w:sz="6" w:space="0" w:color="000000"/>
              <w:bottom w:val="single" w:sz="6" w:space="0" w:color="000000"/>
              <w:right w:val="single" w:sz="6" w:space="0" w:color="000000"/>
            </w:tcBorders>
            <w:hideMark/>
          </w:tcPr>
          <w:p w14:paraId="26675E4B"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b/>
                <w:bCs/>
                <w:color w:val="000000"/>
                <w:kern w:val="0"/>
                <w:sz w:val="22"/>
                <w:szCs w:val="22"/>
                <w:lang w:eastAsia="zh-CN"/>
                <w14:ligatures w14:val="none"/>
              </w:rPr>
              <w:t>Learning Outcome (LO)</w:t>
            </w:r>
            <w:r w:rsidRPr="00C6718A">
              <w:rPr>
                <w:rFonts w:ascii="Calibri" w:eastAsia="Times New Roman" w:hAnsi="Calibri" w:cs="Calibri"/>
                <w:color w:val="000000"/>
                <w:kern w:val="0"/>
                <w:sz w:val="22"/>
                <w:szCs w:val="22"/>
                <w:lang w:val="en-CA" w:eastAsia="zh-CN"/>
                <w14:ligatures w14:val="none"/>
              </w:rPr>
              <w:t> </w:t>
            </w:r>
          </w:p>
        </w:tc>
        <w:tc>
          <w:tcPr>
            <w:tcW w:w="6315" w:type="dxa"/>
            <w:tcBorders>
              <w:top w:val="single" w:sz="6" w:space="0" w:color="000000"/>
              <w:left w:val="single" w:sz="6" w:space="0" w:color="000000"/>
              <w:bottom w:val="single" w:sz="6" w:space="0" w:color="000000"/>
              <w:right w:val="single" w:sz="6" w:space="0" w:color="000000"/>
            </w:tcBorders>
            <w:hideMark/>
          </w:tcPr>
          <w:p w14:paraId="669926C1"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b/>
                <w:bCs/>
                <w:color w:val="000000"/>
                <w:kern w:val="0"/>
                <w:sz w:val="22"/>
                <w:szCs w:val="22"/>
                <w:lang w:eastAsia="zh-CN"/>
                <w14:ligatures w14:val="none"/>
              </w:rPr>
              <w:t>Program Learning Outcome</w:t>
            </w:r>
            <w:r w:rsidRPr="00C6718A">
              <w:rPr>
                <w:rFonts w:ascii="Calibri" w:eastAsia="Times New Roman" w:hAnsi="Calibri" w:cs="Calibri"/>
                <w:color w:val="000000"/>
                <w:kern w:val="0"/>
                <w:sz w:val="22"/>
                <w:szCs w:val="22"/>
                <w:lang w:val="en-CA" w:eastAsia="zh-CN"/>
                <w14:ligatures w14:val="none"/>
              </w:rPr>
              <w:t> </w:t>
            </w:r>
          </w:p>
        </w:tc>
        <w:tc>
          <w:tcPr>
            <w:tcW w:w="2130" w:type="dxa"/>
            <w:tcBorders>
              <w:top w:val="single" w:sz="6" w:space="0" w:color="000000"/>
              <w:left w:val="single" w:sz="6" w:space="0" w:color="000000"/>
              <w:bottom w:val="single" w:sz="6" w:space="0" w:color="000000"/>
              <w:right w:val="single" w:sz="6" w:space="0" w:color="000000"/>
            </w:tcBorders>
            <w:hideMark/>
          </w:tcPr>
          <w:p w14:paraId="1C70AD35"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b/>
                <w:bCs/>
                <w:color w:val="000000"/>
                <w:kern w:val="0"/>
                <w:sz w:val="22"/>
                <w:szCs w:val="22"/>
                <w:lang w:eastAsia="zh-CN"/>
                <w14:ligatures w14:val="none"/>
              </w:rPr>
              <w:t>Graduate Degree Level Expectations (GDLE)</w:t>
            </w:r>
            <w:r w:rsidRPr="00C6718A">
              <w:rPr>
                <w:rFonts w:ascii="Calibri" w:eastAsia="Times New Roman" w:hAnsi="Calibri" w:cs="Calibri"/>
                <w:color w:val="000000"/>
                <w:kern w:val="0"/>
                <w:sz w:val="22"/>
                <w:szCs w:val="22"/>
                <w:lang w:val="en-CA" w:eastAsia="zh-CN"/>
                <w14:ligatures w14:val="none"/>
              </w:rPr>
              <w:t> </w:t>
            </w:r>
          </w:p>
        </w:tc>
      </w:tr>
      <w:tr w:rsidR="00C6718A" w:rsidRPr="00C6718A" w14:paraId="30B2315E" w14:textId="77777777" w:rsidTr="00762D3D">
        <w:trPr>
          <w:trHeight w:val="1830"/>
        </w:trPr>
        <w:tc>
          <w:tcPr>
            <w:tcW w:w="1755" w:type="dxa"/>
            <w:tcBorders>
              <w:top w:val="single" w:sz="6" w:space="0" w:color="000000"/>
              <w:left w:val="single" w:sz="6" w:space="0" w:color="000000"/>
              <w:bottom w:val="single" w:sz="6" w:space="0" w:color="000000"/>
              <w:right w:val="single" w:sz="6" w:space="0" w:color="000000"/>
            </w:tcBorders>
            <w:hideMark/>
          </w:tcPr>
          <w:p w14:paraId="1931409C"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b/>
                <w:bCs/>
                <w:color w:val="000000"/>
                <w:kern w:val="0"/>
                <w:sz w:val="22"/>
                <w:szCs w:val="22"/>
                <w:lang w:eastAsia="zh-CN"/>
                <w14:ligatures w14:val="none"/>
              </w:rPr>
              <w:t>LO 1</w:t>
            </w:r>
            <w:r w:rsidRPr="00C6718A">
              <w:rPr>
                <w:rFonts w:ascii="Calibri" w:eastAsia="Times New Roman" w:hAnsi="Calibri" w:cs="Calibri"/>
                <w:color w:val="000000"/>
                <w:kern w:val="0"/>
                <w:sz w:val="22"/>
                <w:szCs w:val="22"/>
                <w:lang w:val="en-CA" w:eastAsia="zh-CN"/>
                <w14:ligatures w14:val="none"/>
              </w:rPr>
              <w:t> </w:t>
            </w:r>
          </w:p>
        </w:tc>
        <w:tc>
          <w:tcPr>
            <w:tcW w:w="6315" w:type="dxa"/>
            <w:tcBorders>
              <w:top w:val="single" w:sz="6" w:space="0" w:color="000000"/>
              <w:left w:val="single" w:sz="6" w:space="0" w:color="000000"/>
              <w:bottom w:val="single" w:sz="6" w:space="0" w:color="000000"/>
              <w:right w:val="single" w:sz="6" w:space="0" w:color="000000"/>
            </w:tcBorders>
            <w:hideMark/>
          </w:tcPr>
          <w:p w14:paraId="118853B4"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color w:val="000000"/>
                <w:kern w:val="0"/>
                <w:sz w:val="22"/>
                <w:szCs w:val="22"/>
                <w:lang w:eastAsia="zh-CN"/>
                <w14:ligatures w14:val="none"/>
              </w:rPr>
              <w:t>Students are required to demonstrate expertise in research methods and data analysis relevant to the biological sciences. As the department has multiple research disciplines which include evolutionary and ecological biology, molecular/biochemical biology, physiology and population biology, students can integrate concepts and ideas from any discipline into their own specific research area.</w:t>
            </w:r>
            <w:r w:rsidRPr="00C6718A">
              <w:rPr>
                <w:rFonts w:ascii="Calibri" w:eastAsia="Times New Roman" w:hAnsi="Calibri" w:cs="Calibri"/>
                <w:color w:val="000000"/>
                <w:kern w:val="0"/>
                <w:sz w:val="22"/>
                <w:szCs w:val="22"/>
                <w:lang w:val="en-CA" w:eastAsia="zh-CN"/>
                <w14:ligatures w14:val="none"/>
              </w:rPr>
              <w:t> </w:t>
            </w:r>
          </w:p>
        </w:tc>
        <w:tc>
          <w:tcPr>
            <w:tcW w:w="2130" w:type="dxa"/>
            <w:tcBorders>
              <w:top w:val="single" w:sz="6" w:space="0" w:color="000000"/>
              <w:left w:val="single" w:sz="6" w:space="0" w:color="000000"/>
              <w:bottom w:val="single" w:sz="6" w:space="0" w:color="000000"/>
              <w:right w:val="single" w:sz="6" w:space="0" w:color="000000"/>
            </w:tcBorders>
            <w:hideMark/>
          </w:tcPr>
          <w:p w14:paraId="35FFC841"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color w:val="000000"/>
                <w:kern w:val="0"/>
                <w:sz w:val="22"/>
                <w:szCs w:val="22"/>
                <w:lang w:eastAsia="zh-CN"/>
                <w14:ligatures w14:val="none"/>
              </w:rPr>
              <w:t>GDLE 1 - Depth and Breadth of knowledge</w:t>
            </w:r>
            <w:r w:rsidRPr="00C6718A">
              <w:rPr>
                <w:rFonts w:ascii="Calibri" w:eastAsia="Times New Roman" w:hAnsi="Calibri" w:cs="Calibri"/>
                <w:color w:val="000000"/>
                <w:kern w:val="0"/>
                <w:sz w:val="22"/>
                <w:szCs w:val="22"/>
                <w:lang w:val="en-CA" w:eastAsia="zh-CN"/>
                <w14:ligatures w14:val="none"/>
              </w:rPr>
              <w:t> </w:t>
            </w:r>
          </w:p>
        </w:tc>
      </w:tr>
      <w:tr w:rsidR="00C6718A" w:rsidRPr="00C6718A" w14:paraId="43C39F08" w14:textId="77777777" w:rsidTr="00762D3D">
        <w:trPr>
          <w:trHeight w:val="615"/>
        </w:trPr>
        <w:tc>
          <w:tcPr>
            <w:tcW w:w="1755" w:type="dxa"/>
            <w:tcBorders>
              <w:top w:val="single" w:sz="6" w:space="0" w:color="000000"/>
              <w:left w:val="single" w:sz="6" w:space="0" w:color="000000"/>
              <w:bottom w:val="nil"/>
              <w:right w:val="single" w:sz="6" w:space="0" w:color="000000"/>
            </w:tcBorders>
            <w:hideMark/>
          </w:tcPr>
          <w:p w14:paraId="3F1CAF20"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b/>
                <w:bCs/>
                <w:color w:val="000000"/>
                <w:kern w:val="0"/>
                <w:sz w:val="22"/>
                <w:szCs w:val="22"/>
                <w:lang w:eastAsia="zh-CN"/>
                <w14:ligatures w14:val="none"/>
              </w:rPr>
              <w:t>LO 2</w:t>
            </w:r>
            <w:r w:rsidRPr="00C6718A">
              <w:rPr>
                <w:rFonts w:ascii="Calibri" w:eastAsia="Times New Roman" w:hAnsi="Calibri" w:cs="Calibri"/>
                <w:color w:val="000000"/>
                <w:kern w:val="0"/>
                <w:sz w:val="22"/>
                <w:szCs w:val="22"/>
                <w:lang w:val="en-CA" w:eastAsia="zh-CN"/>
                <w14:ligatures w14:val="none"/>
              </w:rPr>
              <w:t> </w:t>
            </w:r>
          </w:p>
        </w:tc>
        <w:tc>
          <w:tcPr>
            <w:tcW w:w="6315" w:type="dxa"/>
            <w:tcBorders>
              <w:top w:val="single" w:sz="6" w:space="0" w:color="000000"/>
              <w:left w:val="single" w:sz="6" w:space="0" w:color="000000"/>
              <w:bottom w:val="single" w:sz="6" w:space="0" w:color="000000"/>
              <w:right w:val="single" w:sz="6" w:space="0" w:color="000000"/>
            </w:tcBorders>
            <w:hideMark/>
          </w:tcPr>
          <w:p w14:paraId="4A773F82"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color w:val="000000"/>
                <w:kern w:val="0"/>
                <w:sz w:val="22"/>
                <w:szCs w:val="22"/>
                <w:lang w:eastAsia="zh-CN"/>
                <w14:ligatures w14:val="none"/>
              </w:rPr>
              <w:t>Students are required to demonstrate expert knowledge in their area of research specialization. </w:t>
            </w:r>
            <w:r w:rsidRPr="00C6718A">
              <w:rPr>
                <w:rFonts w:ascii="Calibri" w:eastAsia="Times New Roman" w:hAnsi="Calibri" w:cs="Calibri"/>
                <w:color w:val="000000"/>
                <w:kern w:val="0"/>
                <w:sz w:val="22"/>
                <w:szCs w:val="22"/>
                <w:lang w:val="en-CA" w:eastAsia="zh-CN"/>
                <w14:ligatures w14:val="none"/>
              </w:rPr>
              <w:t> </w:t>
            </w:r>
          </w:p>
        </w:tc>
        <w:tc>
          <w:tcPr>
            <w:tcW w:w="2130" w:type="dxa"/>
            <w:tcBorders>
              <w:top w:val="single" w:sz="6" w:space="0" w:color="000000"/>
              <w:left w:val="single" w:sz="6" w:space="0" w:color="000000"/>
              <w:bottom w:val="nil"/>
              <w:right w:val="single" w:sz="6" w:space="0" w:color="000000"/>
            </w:tcBorders>
            <w:hideMark/>
          </w:tcPr>
          <w:p w14:paraId="5BCC32BF"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color w:val="000000"/>
                <w:kern w:val="0"/>
                <w:sz w:val="22"/>
                <w:szCs w:val="22"/>
                <w:lang w:eastAsia="zh-CN"/>
                <w14:ligatures w14:val="none"/>
              </w:rPr>
              <w:t>GDLE 1 - Depth and Breadth of knowledge</w:t>
            </w:r>
            <w:r w:rsidRPr="00C6718A">
              <w:rPr>
                <w:rFonts w:ascii="Calibri" w:eastAsia="Times New Roman" w:hAnsi="Calibri" w:cs="Calibri"/>
                <w:color w:val="000000"/>
                <w:kern w:val="0"/>
                <w:sz w:val="22"/>
                <w:szCs w:val="22"/>
                <w:lang w:val="en-CA" w:eastAsia="zh-CN"/>
                <w14:ligatures w14:val="none"/>
              </w:rPr>
              <w:t> </w:t>
            </w:r>
          </w:p>
        </w:tc>
      </w:tr>
      <w:tr w:rsidR="00C6718A" w:rsidRPr="00C6718A" w14:paraId="2AC9CA63" w14:textId="77777777" w:rsidTr="00762D3D">
        <w:trPr>
          <w:trHeight w:val="1665"/>
        </w:trPr>
        <w:tc>
          <w:tcPr>
            <w:tcW w:w="1755" w:type="dxa"/>
            <w:tcBorders>
              <w:top w:val="single" w:sz="6" w:space="0" w:color="000000"/>
              <w:left w:val="single" w:sz="6" w:space="0" w:color="000000"/>
              <w:bottom w:val="single" w:sz="6" w:space="0" w:color="000000"/>
              <w:right w:val="single" w:sz="6" w:space="0" w:color="000000"/>
            </w:tcBorders>
            <w:hideMark/>
          </w:tcPr>
          <w:p w14:paraId="42B8C0FC"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b/>
                <w:bCs/>
                <w:color w:val="000000"/>
                <w:kern w:val="0"/>
                <w:sz w:val="22"/>
                <w:szCs w:val="22"/>
                <w:lang w:eastAsia="zh-CN"/>
                <w14:ligatures w14:val="none"/>
              </w:rPr>
              <w:t>LO 3</w:t>
            </w:r>
            <w:r w:rsidRPr="00C6718A">
              <w:rPr>
                <w:rFonts w:ascii="Calibri" w:eastAsia="Times New Roman" w:hAnsi="Calibri" w:cs="Calibri"/>
                <w:color w:val="000000"/>
                <w:kern w:val="0"/>
                <w:sz w:val="22"/>
                <w:szCs w:val="22"/>
                <w:lang w:val="en-CA" w:eastAsia="zh-CN"/>
                <w14:ligatures w14:val="none"/>
              </w:rPr>
              <w:t> </w:t>
            </w:r>
          </w:p>
        </w:tc>
        <w:tc>
          <w:tcPr>
            <w:tcW w:w="6315" w:type="dxa"/>
            <w:tcBorders>
              <w:top w:val="single" w:sz="6" w:space="0" w:color="000000"/>
              <w:left w:val="single" w:sz="6" w:space="0" w:color="000000"/>
              <w:bottom w:val="single" w:sz="6" w:space="0" w:color="000000"/>
              <w:right w:val="single" w:sz="6" w:space="0" w:color="000000"/>
            </w:tcBorders>
            <w:hideMark/>
          </w:tcPr>
          <w:p w14:paraId="44D05D89"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color w:val="000000"/>
                <w:kern w:val="0"/>
                <w:sz w:val="22"/>
                <w:szCs w:val="22"/>
                <w:lang w:eastAsia="zh-CN"/>
                <w14:ligatures w14:val="none"/>
              </w:rPr>
              <w:t xml:space="preserve">Students should have knowledge and skills that allow success in government ministries, non-governmental organizations, and the private sector (MSc); Background preparation in specific disciplines support success in </w:t>
            </w:r>
            <w:proofErr w:type="gramStart"/>
            <w:r w:rsidRPr="00C6718A">
              <w:rPr>
                <w:rFonts w:ascii="Calibri" w:eastAsia="Times New Roman" w:hAnsi="Calibri" w:cs="Calibri"/>
                <w:color w:val="000000"/>
                <w:kern w:val="0"/>
                <w:sz w:val="22"/>
                <w:szCs w:val="22"/>
                <w:lang w:eastAsia="zh-CN"/>
                <w14:ligatures w14:val="none"/>
              </w:rPr>
              <w:t>student future</w:t>
            </w:r>
            <w:proofErr w:type="gramEnd"/>
            <w:r w:rsidRPr="00C6718A">
              <w:rPr>
                <w:rFonts w:ascii="Calibri" w:eastAsia="Times New Roman" w:hAnsi="Calibri" w:cs="Calibri"/>
                <w:color w:val="000000"/>
                <w:kern w:val="0"/>
                <w:sz w:val="22"/>
                <w:szCs w:val="22"/>
                <w:lang w:eastAsia="zh-CN"/>
                <w14:ligatures w14:val="none"/>
              </w:rPr>
              <w:t xml:space="preserve"> </w:t>
            </w:r>
            <w:proofErr w:type="spellStart"/>
            <w:r w:rsidRPr="00C6718A">
              <w:rPr>
                <w:rFonts w:ascii="Calibri" w:eastAsia="Times New Roman" w:hAnsi="Calibri" w:cs="Calibri"/>
                <w:color w:val="000000"/>
                <w:kern w:val="0"/>
                <w:sz w:val="22"/>
                <w:szCs w:val="22"/>
                <w:lang w:eastAsia="zh-CN"/>
                <w14:ligatures w14:val="none"/>
              </w:rPr>
              <w:t>endeavours</w:t>
            </w:r>
            <w:proofErr w:type="spellEnd"/>
            <w:r w:rsidRPr="00C6718A">
              <w:rPr>
                <w:rFonts w:ascii="Calibri" w:eastAsia="Times New Roman" w:hAnsi="Calibri" w:cs="Calibri"/>
                <w:color w:val="000000"/>
                <w:kern w:val="0"/>
                <w:sz w:val="22"/>
                <w:szCs w:val="22"/>
                <w:lang w:eastAsia="zh-CN"/>
                <w14:ligatures w14:val="none"/>
              </w:rPr>
              <w:t xml:space="preserve"> in government ministries, non-governmental organizations, medical organizations and areas of private or civil society (Ph.D.)</w:t>
            </w:r>
            <w:r w:rsidRPr="00C6718A">
              <w:rPr>
                <w:rFonts w:ascii="Calibri" w:eastAsia="Times New Roman" w:hAnsi="Calibri" w:cs="Calibri"/>
                <w:color w:val="000000"/>
                <w:kern w:val="0"/>
                <w:sz w:val="22"/>
                <w:szCs w:val="22"/>
                <w:lang w:val="en-CA" w:eastAsia="zh-CN"/>
                <w14:ligatures w14:val="none"/>
              </w:rPr>
              <w:t> </w:t>
            </w:r>
          </w:p>
        </w:tc>
        <w:tc>
          <w:tcPr>
            <w:tcW w:w="2130" w:type="dxa"/>
            <w:tcBorders>
              <w:top w:val="single" w:sz="6" w:space="0" w:color="000000"/>
              <w:left w:val="single" w:sz="6" w:space="0" w:color="000000"/>
              <w:bottom w:val="single" w:sz="6" w:space="0" w:color="000000"/>
              <w:right w:val="single" w:sz="6" w:space="0" w:color="000000"/>
            </w:tcBorders>
            <w:hideMark/>
          </w:tcPr>
          <w:p w14:paraId="08A13062"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color w:val="000000"/>
                <w:kern w:val="0"/>
                <w:sz w:val="22"/>
                <w:szCs w:val="22"/>
                <w:lang w:eastAsia="zh-CN"/>
                <w14:ligatures w14:val="none"/>
              </w:rPr>
              <w:t>GDLE 1 - Depth and Breadth of knowledge</w:t>
            </w:r>
            <w:r w:rsidRPr="00C6718A">
              <w:rPr>
                <w:rFonts w:ascii="Calibri" w:eastAsia="Times New Roman" w:hAnsi="Calibri" w:cs="Calibri"/>
                <w:color w:val="000000"/>
                <w:kern w:val="0"/>
                <w:sz w:val="22"/>
                <w:szCs w:val="22"/>
                <w:lang w:val="en-CA" w:eastAsia="zh-CN"/>
                <w14:ligatures w14:val="none"/>
              </w:rPr>
              <w:t> </w:t>
            </w:r>
          </w:p>
        </w:tc>
      </w:tr>
      <w:tr w:rsidR="00C6718A" w:rsidRPr="00C6718A" w14:paraId="0EA5173A" w14:textId="77777777" w:rsidTr="00762D3D">
        <w:trPr>
          <w:trHeight w:val="3060"/>
        </w:trPr>
        <w:tc>
          <w:tcPr>
            <w:tcW w:w="1755" w:type="dxa"/>
            <w:tcBorders>
              <w:top w:val="single" w:sz="6" w:space="0" w:color="000000"/>
              <w:left w:val="single" w:sz="6" w:space="0" w:color="000000"/>
              <w:bottom w:val="single" w:sz="6" w:space="0" w:color="000000"/>
              <w:right w:val="single" w:sz="6" w:space="0" w:color="000000"/>
            </w:tcBorders>
            <w:hideMark/>
          </w:tcPr>
          <w:p w14:paraId="1A6606F1"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b/>
                <w:bCs/>
                <w:color w:val="000000"/>
                <w:kern w:val="0"/>
                <w:sz w:val="22"/>
                <w:szCs w:val="22"/>
                <w:lang w:eastAsia="zh-CN"/>
                <w14:ligatures w14:val="none"/>
              </w:rPr>
              <w:t>LO 4</w:t>
            </w:r>
            <w:r w:rsidRPr="00C6718A">
              <w:rPr>
                <w:rFonts w:ascii="Calibri" w:eastAsia="Times New Roman" w:hAnsi="Calibri" w:cs="Calibri"/>
                <w:color w:val="000000"/>
                <w:kern w:val="0"/>
                <w:sz w:val="22"/>
                <w:szCs w:val="22"/>
                <w:lang w:val="en-CA" w:eastAsia="zh-CN"/>
                <w14:ligatures w14:val="none"/>
              </w:rPr>
              <w:t> </w:t>
            </w:r>
          </w:p>
        </w:tc>
        <w:tc>
          <w:tcPr>
            <w:tcW w:w="6315" w:type="dxa"/>
            <w:tcBorders>
              <w:top w:val="single" w:sz="6" w:space="0" w:color="000000"/>
              <w:left w:val="single" w:sz="6" w:space="0" w:color="000000"/>
              <w:bottom w:val="single" w:sz="6" w:space="0" w:color="000000"/>
              <w:right w:val="single" w:sz="6" w:space="0" w:color="000000"/>
            </w:tcBorders>
            <w:hideMark/>
          </w:tcPr>
          <w:p w14:paraId="57251042"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color w:val="000000"/>
                <w:kern w:val="0"/>
                <w:sz w:val="22"/>
                <w:szCs w:val="22"/>
                <w:lang w:eastAsia="zh-CN"/>
                <w14:ligatures w14:val="none"/>
              </w:rPr>
              <w:t xml:space="preserve">Research and scholarship applied to three major disciplines including evolutionary, ecological and </w:t>
            </w:r>
            <w:proofErr w:type="spellStart"/>
            <w:r w:rsidRPr="00C6718A">
              <w:rPr>
                <w:rFonts w:ascii="Calibri" w:eastAsia="Times New Roman" w:hAnsi="Calibri" w:cs="Calibri"/>
                <w:color w:val="000000"/>
                <w:kern w:val="0"/>
                <w:sz w:val="22"/>
                <w:szCs w:val="22"/>
                <w:lang w:eastAsia="zh-CN"/>
                <w14:ligatures w14:val="none"/>
              </w:rPr>
              <w:t>behaviour</w:t>
            </w:r>
            <w:proofErr w:type="spellEnd"/>
            <w:r w:rsidRPr="00C6718A">
              <w:rPr>
                <w:rFonts w:ascii="Calibri" w:eastAsia="Times New Roman" w:hAnsi="Calibri" w:cs="Calibri"/>
                <w:color w:val="000000"/>
                <w:kern w:val="0"/>
                <w:sz w:val="22"/>
                <w:szCs w:val="22"/>
                <w:lang w:eastAsia="zh-CN"/>
                <w14:ligatures w14:val="none"/>
              </w:rPr>
              <w:t>; molecular, cellular, and integrative biology; and aquatic biology. Graduate students within each discipline are trained to demonstrate proficiency in the ability to conceptualize, design and produce original research. Ability to evaluate research through internal peer review and/or external peer review and publication of manuscripts in national and/or international journals. Given the broad nature of research disciplines within the department, graduates are encouraged to learn and collaborate between disciplines. </w:t>
            </w:r>
            <w:r w:rsidRPr="00C6718A">
              <w:rPr>
                <w:rFonts w:ascii="Calibri" w:eastAsia="Times New Roman" w:hAnsi="Calibri" w:cs="Calibri"/>
                <w:color w:val="000000"/>
                <w:kern w:val="0"/>
                <w:sz w:val="22"/>
                <w:szCs w:val="22"/>
                <w:lang w:val="en-CA" w:eastAsia="zh-CN"/>
                <w14:ligatures w14:val="none"/>
              </w:rPr>
              <w:t> </w:t>
            </w:r>
          </w:p>
        </w:tc>
        <w:tc>
          <w:tcPr>
            <w:tcW w:w="2130" w:type="dxa"/>
            <w:tcBorders>
              <w:top w:val="single" w:sz="6" w:space="0" w:color="000000"/>
              <w:left w:val="single" w:sz="6" w:space="0" w:color="000000"/>
              <w:bottom w:val="single" w:sz="6" w:space="0" w:color="000000"/>
              <w:right w:val="single" w:sz="6" w:space="0" w:color="000000"/>
            </w:tcBorders>
            <w:hideMark/>
          </w:tcPr>
          <w:p w14:paraId="43EDA378"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color w:val="000000"/>
                <w:kern w:val="0"/>
                <w:sz w:val="22"/>
                <w:szCs w:val="22"/>
                <w:lang w:eastAsia="zh-CN"/>
                <w14:ligatures w14:val="none"/>
              </w:rPr>
              <w:t>GDLE 2 - Research and Scholarship</w:t>
            </w:r>
            <w:r w:rsidRPr="00C6718A">
              <w:rPr>
                <w:rFonts w:ascii="Calibri" w:eastAsia="Times New Roman" w:hAnsi="Calibri" w:cs="Calibri"/>
                <w:color w:val="000000"/>
                <w:kern w:val="0"/>
                <w:sz w:val="22"/>
                <w:szCs w:val="22"/>
                <w:lang w:val="en-CA" w:eastAsia="zh-CN"/>
                <w14:ligatures w14:val="none"/>
              </w:rPr>
              <w:t> </w:t>
            </w:r>
          </w:p>
        </w:tc>
      </w:tr>
      <w:tr w:rsidR="00C6718A" w:rsidRPr="00C6718A" w14:paraId="64F02353" w14:textId="77777777" w:rsidTr="00762D3D">
        <w:trPr>
          <w:trHeight w:val="1305"/>
        </w:trPr>
        <w:tc>
          <w:tcPr>
            <w:tcW w:w="1755" w:type="dxa"/>
            <w:tcBorders>
              <w:top w:val="single" w:sz="6" w:space="0" w:color="000000"/>
              <w:left w:val="single" w:sz="6" w:space="0" w:color="000000"/>
              <w:bottom w:val="single" w:sz="6" w:space="0" w:color="000000"/>
              <w:right w:val="single" w:sz="6" w:space="0" w:color="000000"/>
            </w:tcBorders>
            <w:hideMark/>
          </w:tcPr>
          <w:p w14:paraId="6E78BD5F"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b/>
                <w:bCs/>
                <w:color w:val="000000"/>
                <w:kern w:val="0"/>
                <w:sz w:val="22"/>
                <w:szCs w:val="22"/>
                <w:lang w:eastAsia="zh-CN"/>
                <w14:ligatures w14:val="none"/>
              </w:rPr>
              <w:t>LO 5</w:t>
            </w:r>
            <w:r w:rsidRPr="00C6718A">
              <w:rPr>
                <w:rFonts w:ascii="Calibri" w:eastAsia="Times New Roman" w:hAnsi="Calibri" w:cs="Calibri"/>
                <w:color w:val="000000"/>
                <w:kern w:val="0"/>
                <w:sz w:val="22"/>
                <w:szCs w:val="22"/>
                <w:lang w:val="en-CA" w:eastAsia="zh-CN"/>
                <w14:ligatures w14:val="none"/>
              </w:rPr>
              <w:t> </w:t>
            </w:r>
          </w:p>
        </w:tc>
        <w:tc>
          <w:tcPr>
            <w:tcW w:w="6315" w:type="dxa"/>
            <w:tcBorders>
              <w:top w:val="single" w:sz="6" w:space="0" w:color="000000"/>
              <w:left w:val="single" w:sz="6" w:space="0" w:color="000000"/>
              <w:bottom w:val="single" w:sz="6" w:space="0" w:color="000000"/>
              <w:right w:val="single" w:sz="6" w:space="0" w:color="000000"/>
            </w:tcBorders>
            <w:hideMark/>
          </w:tcPr>
          <w:p w14:paraId="2905D349"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color w:val="000000"/>
                <w:kern w:val="0"/>
                <w:sz w:val="22"/>
                <w:szCs w:val="22"/>
                <w:lang w:eastAsia="zh-CN"/>
                <w14:ligatures w14:val="none"/>
              </w:rPr>
              <w:t>Graduates will be capable of integrating novel discoveries from their own research with the larger body of existing knowledge in their fields of study, and how this advance science, including contributions that provide solutions relevance for human societies. </w:t>
            </w:r>
            <w:r w:rsidRPr="00C6718A">
              <w:rPr>
                <w:rFonts w:ascii="Calibri" w:eastAsia="Times New Roman" w:hAnsi="Calibri" w:cs="Calibri"/>
                <w:color w:val="000000"/>
                <w:kern w:val="0"/>
                <w:sz w:val="22"/>
                <w:szCs w:val="22"/>
                <w:lang w:val="en-CA" w:eastAsia="zh-CN"/>
                <w14:ligatures w14:val="none"/>
              </w:rPr>
              <w:t> </w:t>
            </w:r>
          </w:p>
        </w:tc>
        <w:tc>
          <w:tcPr>
            <w:tcW w:w="2130" w:type="dxa"/>
            <w:tcBorders>
              <w:top w:val="single" w:sz="6" w:space="0" w:color="000000"/>
              <w:left w:val="single" w:sz="6" w:space="0" w:color="000000"/>
              <w:bottom w:val="single" w:sz="6" w:space="0" w:color="000000"/>
              <w:right w:val="single" w:sz="6" w:space="0" w:color="000000"/>
            </w:tcBorders>
            <w:hideMark/>
          </w:tcPr>
          <w:p w14:paraId="5F874F0A"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color w:val="000000"/>
                <w:kern w:val="0"/>
                <w:sz w:val="22"/>
                <w:szCs w:val="22"/>
                <w:lang w:eastAsia="zh-CN"/>
                <w14:ligatures w14:val="none"/>
              </w:rPr>
              <w:t>GDLE 3 - Level of Application of knowledge</w:t>
            </w:r>
            <w:r w:rsidRPr="00C6718A">
              <w:rPr>
                <w:rFonts w:ascii="Calibri" w:eastAsia="Times New Roman" w:hAnsi="Calibri" w:cs="Calibri"/>
                <w:color w:val="000000"/>
                <w:kern w:val="0"/>
                <w:sz w:val="22"/>
                <w:szCs w:val="22"/>
                <w:lang w:val="en-CA" w:eastAsia="zh-CN"/>
                <w14:ligatures w14:val="none"/>
              </w:rPr>
              <w:t> </w:t>
            </w:r>
          </w:p>
        </w:tc>
      </w:tr>
      <w:tr w:rsidR="00C6718A" w:rsidRPr="00C6718A" w14:paraId="269983C5" w14:textId="77777777" w:rsidTr="00762D3D">
        <w:trPr>
          <w:trHeight w:val="1305"/>
        </w:trPr>
        <w:tc>
          <w:tcPr>
            <w:tcW w:w="1755" w:type="dxa"/>
            <w:tcBorders>
              <w:top w:val="single" w:sz="6" w:space="0" w:color="000000"/>
              <w:left w:val="single" w:sz="6" w:space="0" w:color="000000"/>
              <w:bottom w:val="single" w:sz="6" w:space="0" w:color="000000"/>
              <w:right w:val="single" w:sz="6" w:space="0" w:color="000000"/>
            </w:tcBorders>
            <w:hideMark/>
          </w:tcPr>
          <w:p w14:paraId="6B88082F"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b/>
                <w:bCs/>
                <w:color w:val="000000"/>
                <w:kern w:val="0"/>
                <w:sz w:val="22"/>
                <w:szCs w:val="22"/>
                <w:lang w:eastAsia="zh-CN"/>
                <w14:ligatures w14:val="none"/>
              </w:rPr>
              <w:t>LO 6</w:t>
            </w:r>
            <w:r w:rsidRPr="00C6718A">
              <w:rPr>
                <w:rFonts w:ascii="Calibri" w:eastAsia="Times New Roman" w:hAnsi="Calibri" w:cs="Calibri"/>
                <w:color w:val="000000"/>
                <w:kern w:val="0"/>
                <w:sz w:val="22"/>
                <w:szCs w:val="22"/>
                <w:lang w:val="en-CA" w:eastAsia="zh-CN"/>
                <w14:ligatures w14:val="none"/>
              </w:rPr>
              <w:t> </w:t>
            </w:r>
          </w:p>
        </w:tc>
        <w:tc>
          <w:tcPr>
            <w:tcW w:w="6315" w:type="dxa"/>
            <w:tcBorders>
              <w:top w:val="single" w:sz="6" w:space="0" w:color="000000"/>
              <w:left w:val="single" w:sz="6" w:space="0" w:color="000000"/>
              <w:bottom w:val="single" w:sz="6" w:space="0" w:color="000000"/>
              <w:right w:val="single" w:sz="6" w:space="0" w:color="000000"/>
            </w:tcBorders>
            <w:hideMark/>
          </w:tcPr>
          <w:p w14:paraId="5CAED587"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color w:val="000000"/>
                <w:kern w:val="0"/>
                <w:sz w:val="22"/>
                <w:szCs w:val="22"/>
                <w:lang w:eastAsia="zh-CN"/>
                <w14:ligatures w14:val="none"/>
              </w:rPr>
              <w:t>Students are required to demonstrate autonomy/independence in designing and executing original research. Students are required to adhere to guidelines for ethical and safe practices in research (M.Sc.); Students are required to demonstrate strong autonomy/independence in designing and executing original research. Students are required to adhere to guidelines for ethical and safe practices in research (Ph.D.)</w:t>
            </w:r>
            <w:r w:rsidRPr="00C6718A">
              <w:rPr>
                <w:rFonts w:ascii="Calibri" w:eastAsia="Times New Roman" w:hAnsi="Calibri" w:cs="Calibri"/>
                <w:color w:val="000000"/>
                <w:kern w:val="0"/>
                <w:sz w:val="22"/>
                <w:szCs w:val="22"/>
                <w:lang w:val="en-CA" w:eastAsia="zh-CN"/>
                <w14:ligatures w14:val="none"/>
              </w:rPr>
              <w:t> </w:t>
            </w:r>
          </w:p>
        </w:tc>
        <w:tc>
          <w:tcPr>
            <w:tcW w:w="2130" w:type="dxa"/>
            <w:tcBorders>
              <w:top w:val="single" w:sz="6" w:space="0" w:color="000000"/>
              <w:left w:val="single" w:sz="6" w:space="0" w:color="000000"/>
              <w:bottom w:val="single" w:sz="6" w:space="0" w:color="000000"/>
              <w:right w:val="single" w:sz="6" w:space="0" w:color="000000"/>
            </w:tcBorders>
            <w:hideMark/>
          </w:tcPr>
          <w:p w14:paraId="3A428FF5"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color w:val="000000"/>
                <w:kern w:val="0"/>
                <w:sz w:val="22"/>
                <w:szCs w:val="22"/>
                <w:lang w:eastAsia="zh-CN"/>
                <w14:ligatures w14:val="none"/>
              </w:rPr>
              <w:t xml:space="preserve">GDLE 2 - Research and Scholarship; </w:t>
            </w:r>
            <w:r w:rsidRPr="00C6718A">
              <w:rPr>
                <w:rFonts w:ascii="Calibri" w:eastAsia="Times New Roman" w:hAnsi="Calibri" w:cs="Calibri"/>
                <w:color w:val="000000"/>
                <w:kern w:val="0"/>
                <w:sz w:val="22"/>
                <w:szCs w:val="22"/>
                <w:lang w:val="en-CA" w:eastAsia="zh-CN"/>
                <w14:ligatures w14:val="none"/>
              </w:rPr>
              <w:t> </w:t>
            </w:r>
            <w:r w:rsidRPr="00C6718A">
              <w:rPr>
                <w:rFonts w:ascii="Calibri" w:eastAsia="Times New Roman" w:hAnsi="Calibri" w:cs="Calibri"/>
                <w:color w:val="000000"/>
                <w:kern w:val="0"/>
                <w:sz w:val="22"/>
                <w:szCs w:val="22"/>
                <w:lang w:val="en-CA" w:eastAsia="zh-CN"/>
                <w14:ligatures w14:val="none"/>
              </w:rPr>
              <w:br/>
            </w:r>
            <w:r w:rsidRPr="00C6718A">
              <w:rPr>
                <w:rFonts w:ascii="Open Sans" w:eastAsia="Times New Roman" w:hAnsi="Open Sans" w:cs="Open Sans"/>
                <w:kern w:val="0"/>
                <w:sz w:val="22"/>
                <w:szCs w:val="22"/>
                <w:lang w:val="en-CA" w:eastAsia="zh-CN"/>
                <w14:ligatures w14:val="none"/>
              </w:rPr>
              <w:t> </w:t>
            </w:r>
            <w:r w:rsidRPr="00C6718A">
              <w:rPr>
                <w:rFonts w:ascii="Open Sans" w:eastAsia="Times New Roman" w:hAnsi="Open Sans" w:cs="Open Sans"/>
                <w:kern w:val="0"/>
                <w:sz w:val="22"/>
                <w:szCs w:val="22"/>
                <w:lang w:val="en-CA" w:eastAsia="zh-CN"/>
                <w14:ligatures w14:val="none"/>
              </w:rPr>
              <w:br/>
            </w:r>
            <w:r w:rsidRPr="00C6718A">
              <w:rPr>
                <w:rFonts w:ascii="Calibri" w:eastAsia="Times New Roman" w:hAnsi="Calibri" w:cs="Calibri"/>
                <w:color w:val="000000"/>
                <w:kern w:val="0"/>
                <w:sz w:val="22"/>
                <w:szCs w:val="22"/>
                <w:lang w:eastAsia="zh-CN"/>
                <w14:ligatures w14:val="none"/>
              </w:rPr>
              <w:t>GDLE 4 - Professional Capacity/Autonomy</w:t>
            </w:r>
            <w:r w:rsidRPr="00C6718A">
              <w:rPr>
                <w:rFonts w:ascii="Calibri" w:eastAsia="Times New Roman" w:hAnsi="Calibri" w:cs="Calibri"/>
                <w:color w:val="000000"/>
                <w:kern w:val="0"/>
                <w:sz w:val="22"/>
                <w:szCs w:val="22"/>
                <w:lang w:val="en-CA" w:eastAsia="zh-CN"/>
                <w14:ligatures w14:val="none"/>
              </w:rPr>
              <w:t> </w:t>
            </w:r>
          </w:p>
        </w:tc>
      </w:tr>
      <w:tr w:rsidR="00C6718A" w:rsidRPr="00C6718A" w14:paraId="081402AD" w14:textId="77777777" w:rsidTr="00762D3D">
        <w:trPr>
          <w:trHeight w:val="765"/>
        </w:trPr>
        <w:tc>
          <w:tcPr>
            <w:tcW w:w="1755" w:type="dxa"/>
            <w:tcBorders>
              <w:top w:val="single" w:sz="6" w:space="0" w:color="000000"/>
              <w:left w:val="single" w:sz="6" w:space="0" w:color="000000"/>
              <w:bottom w:val="single" w:sz="6" w:space="0" w:color="000000"/>
              <w:right w:val="single" w:sz="6" w:space="0" w:color="000000"/>
            </w:tcBorders>
            <w:hideMark/>
          </w:tcPr>
          <w:p w14:paraId="6A60E745"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b/>
                <w:bCs/>
                <w:color w:val="000000"/>
                <w:kern w:val="0"/>
                <w:sz w:val="22"/>
                <w:szCs w:val="22"/>
                <w:lang w:eastAsia="zh-CN"/>
                <w14:ligatures w14:val="none"/>
              </w:rPr>
              <w:lastRenderedPageBreak/>
              <w:t>LO 7</w:t>
            </w:r>
            <w:r w:rsidRPr="00C6718A">
              <w:rPr>
                <w:rFonts w:ascii="Calibri" w:eastAsia="Times New Roman" w:hAnsi="Calibri" w:cs="Calibri"/>
                <w:color w:val="000000"/>
                <w:kern w:val="0"/>
                <w:sz w:val="22"/>
                <w:szCs w:val="22"/>
                <w:lang w:val="en-CA" w:eastAsia="zh-CN"/>
                <w14:ligatures w14:val="none"/>
              </w:rPr>
              <w:t> </w:t>
            </w:r>
          </w:p>
        </w:tc>
        <w:tc>
          <w:tcPr>
            <w:tcW w:w="6315" w:type="dxa"/>
            <w:tcBorders>
              <w:top w:val="single" w:sz="6" w:space="0" w:color="000000"/>
              <w:left w:val="single" w:sz="6" w:space="0" w:color="000000"/>
              <w:bottom w:val="single" w:sz="6" w:space="0" w:color="000000"/>
              <w:right w:val="single" w:sz="6" w:space="0" w:color="000000"/>
            </w:tcBorders>
            <w:hideMark/>
          </w:tcPr>
          <w:p w14:paraId="22951F94"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color w:val="000000"/>
                <w:kern w:val="0"/>
                <w:sz w:val="22"/>
                <w:szCs w:val="22"/>
                <w:lang w:eastAsia="zh-CN"/>
                <w14:ligatures w14:val="none"/>
              </w:rPr>
              <w:t>Graduates will be capable of disseminating complex knowledge to diverse audiences in the areas of analysis and synthesis of both their own research and the research and scholarship of others (M.Sc.); Graduates will be capable of proficiency in the analysis, synthesis, and oral and written presentation of both their own research and the research and scholarship of others (Ph.D.)</w:t>
            </w:r>
            <w:r w:rsidRPr="00C6718A">
              <w:rPr>
                <w:rFonts w:ascii="Calibri" w:eastAsia="Times New Roman" w:hAnsi="Calibri" w:cs="Calibri"/>
                <w:color w:val="000000"/>
                <w:kern w:val="0"/>
                <w:sz w:val="22"/>
                <w:szCs w:val="22"/>
                <w:lang w:val="en-CA" w:eastAsia="zh-CN"/>
                <w14:ligatures w14:val="none"/>
              </w:rPr>
              <w:t> </w:t>
            </w:r>
          </w:p>
        </w:tc>
        <w:tc>
          <w:tcPr>
            <w:tcW w:w="2130" w:type="dxa"/>
            <w:tcBorders>
              <w:top w:val="single" w:sz="6" w:space="0" w:color="000000"/>
              <w:left w:val="single" w:sz="6" w:space="0" w:color="000000"/>
              <w:bottom w:val="single" w:sz="6" w:space="0" w:color="000000"/>
              <w:right w:val="single" w:sz="6" w:space="0" w:color="000000"/>
            </w:tcBorders>
            <w:hideMark/>
          </w:tcPr>
          <w:p w14:paraId="4DE93E9E"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color w:val="000000"/>
                <w:kern w:val="0"/>
                <w:sz w:val="22"/>
                <w:szCs w:val="22"/>
                <w:lang w:eastAsia="zh-CN"/>
                <w14:ligatures w14:val="none"/>
              </w:rPr>
              <w:t>GDLE 5 - Level of Communication Skills</w:t>
            </w:r>
            <w:r w:rsidRPr="00C6718A">
              <w:rPr>
                <w:rFonts w:ascii="Calibri" w:eastAsia="Times New Roman" w:hAnsi="Calibri" w:cs="Calibri"/>
                <w:color w:val="000000"/>
                <w:kern w:val="0"/>
                <w:sz w:val="22"/>
                <w:szCs w:val="22"/>
                <w:lang w:val="en-CA" w:eastAsia="zh-CN"/>
                <w14:ligatures w14:val="none"/>
              </w:rPr>
              <w:t> </w:t>
            </w:r>
          </w:p>
        </w:tc>
      </w:tr>
      <w:tr w:rsidR="00C6718A" w:rsidRPr="00C6718A" w14:paraId="2190207A" w14:textId="77777777" w:rsidTr="00762D3D">
        <w:trPr>
          <w:trHeight w:val="750"/>
        </w:trPr>
        <w:tc>
          <w:tcPr>
            <w:tcW w:w="1755" w:type="dxa"/>
            <w:tcBorders>
              <w:top w:val="single" w:sz="6" w:space="0" w:color="000000"/>
              <w:left w:val="single" w:sz="6" w:space="0" w:color="000000"/>
              <w:bottom w:val="single" w:sz="6" w:space="0" w:color="000000"/>
              <w:right w:val="single" w:sz="6" w:space="0" w:color="000000"/>
            </w:tcBorders>
            <w:hideMark/>
          </w:tcPr>
          <w:p w14:paraId="02B76112"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b/>
                <w:bCs/>
                <w:color w:val="000000"/>
                <w:kern w:val="0"/>
                <w:sz w:val="22"/>
                <w:szCs w:val="22"/>
                <w:lang w:eastAsia="zh-CN"/>
                <w14:ligatures w14:val="none"/>
              </w:rPr>
              <w:t>LO 8</w:t>
            </w:r>
            <w:r w:rsidRPr="00C6718A">
              <w:rPr>
                <w:rFonts w:ascii="Calibri" w:eastAsia="Times New Roman" w:hAnsi="Calibri" w:cs="Calibri"/>
                <w:color w:val="000000"/>
                <w:kern w:val="0"/>
                <w:sz w:val="22"/>
                <w:szCs w:val="22"/>
                <w:lang w:val="en-CA" w:eastAsia="zh-CN"/>
                <w14:ligatures w14:val="none"/>
              </w:rPr>
              <w:t> </w:t>
            </w:r>
          </w:p>
        </w:tc>
        <w:tc>
          <w:tcPr>
            <w:tcW w:w="6315" w:type="dxa"/>
            <w:tcBorders>
              <w:top w:val="single" w:sz="6" w:space="0" w:color="000000"/>
              <w:left w:val="single" w:sz="6" w:space="0" w:color="000000"/>
              <w:bottom w:val="single" w:sz="6" w:space="0" w:color="000000"/>
              <w:right w:val="single" w:sz="6" w:space="0" w:color="000000"/>
            </w:tcBorders>
            <w:hideMark/>
          </w:tcPr>
          <w:p w14:paraId="5013A82F"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color w:val="000000"/>
                <w:kern w:val="0"/>
                <w:sz w:val="22"/>
                <w:szCs w:val="22"/>
                <w:lang w:eastAsia="zh-CN"/>
                <w14:ligatures w14:val="none"/>
              </w:rPr>
              <w:t>Graduates will be capable of drawing sound evidence-based conclusions from their research, and the research of others, based on best practices that recognize scope for potential uncertainty arising from underlying assumptions, alternative interpretations, and gaps in knowledge.</w:t>
            </w:r>
            <w:r w:rsidRPr="00C6718A">
              <w:rPr>
                <w:rFonts w:ascii="Calibri" w:eastAsia="Times New Roman" w:hAnsi="Calibri" w:cs="Calibri"/>
                <w:color w:val="000000"/>
                <w:kern w:val="0"/>
                <w:sz w:val="22"/>
                <w:szCs w:val="22"/>
                <w:lang w:val="en-CA" w:eastAsia="zh-CN"/>
                <w14:ligatures w14:val="none"/>
              </w:rPr>
              <w:t> </w:t>
            </w:r>
          </w:p>
        </w:tc>
        <w:tc>
          <w:tcPr>
            <w:tcW w:w="2130" w:type="dxa"/>
            <w:tcBorders>
              <w:top w:val="single" w:sz="6" w:space="0" w:color="000000"/>
              <w:left w:val="single" w:sz="6" w:space="0" w:color="000000"/>
              <w:bottom w:val="single" w:sz="6" w:space="0" w:color="000000"/>
              <w:right w:val="single" w:sz="6" w:space="0" w:color="000000"/>
            </w:tcBorders>
            <w:hideMark/>
          </w:tcPr>
          <w:p w14:paraId="1D27F935"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Calibri" w:eastAsia="Times New Roman" w:hAnsi="Calibri" w:cs="Calibri"/>
                <w:color w:val="000000"/>
                <w:kern w:val="0"/>
                <w:sz w:val="22"/>
                <w:szCs w:val="22"/>
                <w:lang w:eastAsia="zh-CN"/>
                <w14:ligatures w14:val="none"/>
              </w:rPr>
              <w:t>GDLE 6 - Awareness of limits of knowledge</w:t>
            </w:r>
            <w:r w:rsidRPr="00C6718A">
              <w:rPr>
                <w:rFonts w:ascii="Calibri" w:eastAsia="Times New Roman" w:hAnsi="Calibri" w:cs="Calibri"/>
                <w:color w:val="000000"/>
                <w:kern w:val="0"/>
                <w:sz w:val="22"/>
                <w:szCs w:val="22"/>
                <w:lang w:val="en-CA" w:eastAsia="zh-CN"/>
                <w14:ligatures w14:val="none"/>
              </w:rPr>
              <w:t> </w:t>
            </w:r>
          </w:p>
        </w:tc>
      </w:tr>
      <w:tr w:rsidR="00C6718A" w:rsidRPr="00C6718A" w14:paraId="72BF4493" w14:textId="77777777" w:rsidTr="00762D3D">
        <w:trPr>
          <w:trHeight w:val="2295"/>
        </w:trPr>
        <w:tc>
          <w:tcPr>
            <w:tcW w:w="1755" w:type="dxa"/>
            <w:tcBorders>
              <w:top w:val="single" w:sz="6" w:space="0" w:color="000000"/>
              <w:left w:val="single" w:sz="6" w:space="0" w:color="000000"/>
              <w:bottom w:val="single" w:sz="6" w:space="0" w:color="000000"/>
              <w:right w:val="single" w:sz="6" w:space="0" w:color="000000"/>
            </w:tcBorders>
            <w:hideMark/>
          </w:tcPr>
          <w:p w14:paraId="313AA0F8"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Aptos Narrow" w:eastAsia="Times New Roman" w:hAnsi="Aptos Narrow" w:cs="Times New Roman"/>
                <w:b/>
                <w:bCs/>
                <w:color w:val="000000"/>
                <w:kern w:val="0"/>
                <w:sz w:val="22"/>
                <w:szCs w:val="22"/>
                <w:lang w:eastAsia="zh-CN"/>
                <w14:ligatures w14:val="none"/>
              </w:rPr>
              <w:t>LO 9</w:t>
            </w:r>
            <w:r w:rsidRPr="00C6718A">
              <w:rPr>
                <w:rFonts w:ascii="Aptos Narrow" w:eastAsia="Times New Roman" w:hAnsi="Aptos Narrow" w:cs="Times New Roman"/>
                <w:color w:val="000000"/>
                <w:kern w:val="0"/>
                <w:sz w:val="22"/>
                <w:szCs w:val="22"/>
                <w:lang w:val="en-CA" w:eastAsia="zh-CN"/>
                <w14:ligatures w14:val="none"/>
              </w:rPr>
              <w:t> </w:t>
            </w:r>
          </w:p>
        </w:tc>
        <w:tc>
          <w:tcPr>
            <w:tcW w:w="6315" w:type="dxa"/>
            <w:tcBorders>
              <w:top w:val="single" w:sz="6" w:space="0" w:color="000000"/>
              <w:left w:val="single" w:sz="6" w:space="0" w:color="000000"/>
              <w:bottom w:val="single" w:sz="6" w:space="0" w:color="000000"/>
              <w:right w:val="single" w:sz="6" w:space="0" w:color="000000"/>
            </w:tcBorders>
            <w:hideMark/>
          </w:tcPr>
          <w:p w14:paraId="313E09DC"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Aptos Narrow" w:eastAsia="Times New Roman" w:hAnsi="Aptos Narrow" w:cs="Times New Roman"/>
                <w:color w:val="000000"/>
                <w:kern w:val="0"/>
                <w:sz w:val="22"/>
                <w:szCs w:val="22"/>
                <w:lang w:eastAsia="zh-CN"/>
                <w14:ligatures w14:val="none"/>
              </w:rPr>
              <w:t>Describe, understand, evaluate and critique the benefits of incorporating I-EDIAA principles for understanding and applying biological knowledge. </w:t>
            </w:r>
            <w:r w:rsidRPr="00C6718A">
              <w:rPr>
                <w:rFonts w:ascii="Aptos Narrow" w:eastAsia="Times New Roman" w:hAnsi="Aptos Narrow" w:cs="Times New Roman"/>
                <w:color w:val="000000"/>
                <w:kern w:val="0"/>
                <w:sz w:val="22"/>
                <w:szCs w:val="22"/>
                <w:lang w:val="en-CA" w:eastAsia="zh-CN"/>
                <w14:ligatures w14:val="none"/>
              </w:rPr>
              <w:t> </w:t>
            </w:r>
          </w:p>
        </w:tc>
        <w:tc>
          <w:tcPr>
            <w:tcW w:w="2130" w:type="dxa"/>
            <w:tcBorders>
              <w:top w:val="single" w:sz="6" w:space="0" w:color="000000"/>
              <w:left w:val="single" w:sz="6" w:space="0" w:color="000000"/>
              <w:bottom w:val="single" w:sz="6" w:space="0" w:color="000000"/>
              <w:right w:val="single" w:sz="6" w:space="0" w:color="000000"/>
            </w:tcBorders>
            <w:hideMark/>
          </w:tcPr>
          <w:p w14:paraId="340D0681" w14:textId="77777777" w:rsidR="00C6718A" w:rsidRPr="00C6718A" w:rsidRDefault="00C6718A" w:rsidP="00C6718A">
            <w:pPr>
              <w:spacing w:after="0" w:line="240" w:lineRule="auto"/>
              <w:textAlignment w:val="baseline"/>
              <w:rPr>
                <w:rFonts w:ascii="Times New Roman" w:eastAsia="Times New Roman" w:hAnsi="Times New Roman" w:cs="Times New Roman"/>
                <w:kern w:val="0"/>
                <w:sz w:val="22"/>
                <w:szCs w:val="22"/>
                <w:lang w:val="en-CA" w:eastAsia="zh-CN"/>
                <w14:ligatures w14:val="none"/>
              </w:rPr>
            </w:pPr>
            <w:r w:rsidRPr="00C6718A">
              <w:rPr>
                <w:rFonts w:ascii="Aptos Narrow" w:eastAsia="Times New Roman" w:hAnsi="Aptos Narrow" w:cs="Times New Roman"/>
                <w:color w:val="000000"/>
                <w:kern w:val="0"/>
                <w:sz w:val="22"/>
                <w:szCs w:val="22"/>
                <w:lang w:eastAsia="zh-CN"/>
                <w14:ligatures w14:val="none"/>
              </w:rPr>
              <w:t xml:space="preserve">GDLE 3 - Level of Application of knowledge; </w:t>
            </w:r>
            <w:r w:rsidRPr="00C6718A">
              <w:rPr>
                <w:rFonts w:ascii="Aptos Narrow" w:eastAsia="Times New Roman" w:hAnsi="Aptos Narrow" w:cs="Times New Roman"/>
                <w:color w:val="000000"/>
                <w:kern w:val="0"/>
                <w:sz w:val="22"/>
                <w:szCs w:val="22"/>
                <w:lang w:val="en-CA" w:eastAsia="zh-CN"/>
                <w14:ligatures w14:val="none"/>
              </w:rPr>
              <w:t> </w:t>
            </w:r>
            <w:r w:rsidRPr="00C6718A">
              <w:rPr>
                <w:rFonts w:ascii="Aptos Narrow" w:eastAsia="Times New Roman" w:hAnsi="Aptos Narrow" w:cs="Times New Roman"/>
                <w:color w:val="000000"/>
                <w:kern w:val="0"/>
                <w:sz w:val="22"/>
                <w:szCs w:val="22"/>
                <w:lang w:val="en-CA" w:eastAsia="zh-CN"/>
                <w14:ligatures w14:val="none"/>
              </w:rPr>
              <w:br/>
            </w:r>
            <w:r w:rsidRPr="00C6718A">
              <w:rPr>
                <w:rFonts w:ascii="Open Sans" w:eastAsia="Times New Roman" w:hAnsi="Open Sans" w:cs="Open Sans"/>
                <w:kern w:val="0"/>
                <w:sz w:val="22"/>
                <w:szCs w:val="22"/>
                <w:lang w:val="en-CA" w:eastAsia="zh-CN"/>
                <w14:ligatures w14:val="none"/>
              </w:rPr>
              <w:t> </w:t>
            </w:r>
            <w:r w:rsidRPr="00C6718A">
              <w:rPr>
                <w:rFonts w:ascii="Open Sans" w:eastAsia="Times New Roman" w:hAnsi="Open Sans" w:cs="Open Sans"/>
                <w:kern w:val="0"/>
                <w:sz w:val="22"/>
                <w:szCs w:val="22"/>
                <w:lang w:val="en-CA" w:eastAsia="zh-CN"/>
                <w14:ligatures w14:val="none"/>
              </w:rPr>
              <w:br/>
            </w:r>
            <w:r w:rsidRPr="00C6718A">
              <w:rPr>
                <w:rFonts w:ascii="Aptos Narrow" w:eastAsia="Times New Roman" w:hAnsi="Aptos Narrow" w:cs="Times New Roman"/>
                <w:color w:val="000000"/>
                <w:kern w:val="0"/>
                <w:sz w:val="22"/>
                <w:szCs w:val="22"/>
                <w:lang w:eastAsia="zh-CN"/>
                <w14:ligatures w14:val="none"/>
              </w:rPr>
              <w:t>GDLE 4 - Professional Capacity/</w:t>
            </w:r>
            <w:proofErr w:type="spellStart"/>
            <w:r w:rsidRPr="00C6718A">
              <w:rPr>
                <w:rFonts w:ascii="Aptos Narrow" w:eastAsia="Times New Roman" w:hAnsi="Aptos Narrow" w:cs="Times New Roman"/>
                <w:color w:val="000000"/>
                <w:kern w:val="0"/>
                <w:sz w:val="22"/>
                <w:szCs w:val="22"/>
                <w:lang w:eastAsia="zh-CN"/>
                <w14:ligatures w14:val="none"/>
              </w:rPr>
              <w:t>Automony</w:t>
            </w:r>
            <w:proofErr w:type="spellEnd"/>
            <w:r w:rsidRPr="00C6718A">
              <w:rPr>
                <w:rFonts w:ascii="Aptos Narrow" w:eastAsia="Times New Roman" w:hAnsi="Aptos Narrow" w:cs="Times New Roman"/>
                <w:color w:val="000000"/>
                <w:kern w:val="0"/>
                <w:sz w:val="22"/>
                <w:szCs w:val="22"/>
                <w:lang w:eastAsia="zh-CN"/>
                <w14:ligatures w14:val="none"/>
              </w:rPr>
              <w:t xml:space="preserve">; </w:t>
            </w:r>
            <w:r w:rsidRPr="00C6718A">
              <w:rPr>
                <w:rFonts w:ascii="Aptos Narrow" w:eastAsia="Times New Roman" w:hAnsi="Aptos Narrow" w:cs="Times New Roman"/>
                <w:color w:val="000000"/>
                <w:kern w:val="0"/>
                <w:sz w:val="22"/>
                <w:szCs w:val="22"/>
                <w:lang w:val="en-CA" w:eastAsia="zh-CN"/>
                <w14:ligatures w14:val="none"/>
              </w:rPr>
              <w:t> </w:t>
            </w:r>
            <w:r w:rsidRPr="00C6718A">
              <w:rPr>
                <w:rFonts w:ascii="Aptos Narrow" w:eastAsia="Times New Roman" w:hAnsi="Aptos Narrow" w:cs="Times New Roman"/>
                <w:color w:val="000000"/>
                <w:kern w:val="0"/>
                <w:sz w:val="22"/>
                <w:szCs w:val="22"/>
                <w:lang w:val="en-CA" w:eastAsia="zh-CN"/>
                <w14:ligatures w14:val="none"/>
              </w:rPr>
              <w:br/>
            </w:r>
            <w:r w:rsidRPr="00C6718A">
              <w:rPr>
                <w:rFonts w:ascii="Open Sans" w:eastAsia="Times New Roman" w:hAnsi="Open Sans" w:cs="Open Sans"/>
                <w:kern w:val="0"/>
                <w:sz w:val="22"/>
                <w:szCs w:val="22"/>
                <w:lang w:val="en-CA" w:eastAsia="zh-CN"/>
                <w14:ligatures w14:val="none"/>
              </w:rPr>
              <w:t> </w:t>
            </w:r>
            <w:r w:rsidRPr="00C6718A">
              <w:rPr>
                <w:rFonts w:ascii="Open Sans" w:eastAsia="Times New Roman" w:hAnsi="Open Sans" w:cs="Open Sans"/>
                <w:kern w:val="0"/>
                <w:sz w:val="22"/>
                <w:szCs w:val="22"/>
                <w:lang w:val="en-CA" w:eastAsia="zh-CN"/>
                <w14:ligatures w14:val="none"/>
              </w:rPr>
              <w:br/>
            </w:r>
            <w:r w:rsidRPr="00C6718A">
              <w:rPr>
                <w:rFonts w:ascii="Aptos Narrow" w:eastAsia="Times New Roman" w:hAnsi="Aptos Narrow" w:cs="Times New Roman"/>
                <w:color w:val="000000"/>
                <w:kern w:val="0"/>
                <w:sz w:val="22"/>
                <w:szCs w:val="22"/>
                <w:lang w:eastAsia="zh-CN"/>
                <w14:ligatures w14:val="none"/>
              </w:rPr>
              <w:t>GDLE 5 - Level of Communication Skills</w:t>
            </w:r>
            <w:r w:rsidRPr="00C6718A">
              <w:rPr>
                <w:rFonts w:ascii="Aptos Narrow" w:eastAsia="Times New Roman" w:hAnsi="Aptos Narrow" w:cs="Times New Roman"/>
                <w:color w:val="000000"/>
                <w:kern w:val="0"/>
                <w:sz w:val="22"/>
                <w:szCs w:val="22"/>
                <w:lang w:val="en-CA" w:eastAsia="zh-CN"/>
                <w14:ligatures w14:val="none"/>
              </w:rPr>
              <w:t> </w:t>
            </w:r>
          </w:p>
        </w:tc>
      </w:tr>
    </w:tbl>
    <w:p w14:paraId="6D036063" w14:textId="77777777" w:rsidR="00C6718A" w:rsidRDefault="00C6718A" w:rsidP="00C6718A"/>
    <w:sectPr w:rsidR="00C6718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58E50" w14:textId="77777777" w:rsidR="005B6EF9" w:rsidRDefault="005B6EF9" w:rsidP="005B6EF9">
      <w:pPr>
        <w:spacing w:after="0" w:line="240" w:lineRule="auto"/>
      </w:pPr>
      <w:r>
        <w:separator/>
      </w:r>
    </w:p>
  </w:endnote>
  <w:endnote w:type="continuationSeparator" w:id="0">
    <w:p w14:paraId="56123C68" w14:textId="77777777" w:rsidR="005B6EF9" w:rsidRDefault="005B6EF9" w:rsidP="005B6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42C49" w14:textId="77777777" w:rsidR="005B6EF9" w:rsidRDefault="005B6E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648F9" w14:textId="77777777" w:rsidR="005B6EF9" w:rsidRDefault="005B6E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CF31B" w14:textId="77777777" w:rsidR="005B6EF9" w:rsidRDefault="005B6E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32CD0" w14:textId="77777777" w:rsidR="005B6EF9" w:rsidRDefault="005B6EF9" w:rsidP="005B6EF9">
      <w:pPr>
        <w:spacing w:after="0" w:line="240" w:lineRule="auto"/>
      </w:pPr>
      <w:r>
        <w:separator/>
      </w:r>
    </w:p>
  </w:footnote>
  <w:footnote w:type="continuationSeparator" w:id="0">
    <w:p w14:paraId="687756F1" w14:textId="77777777" w:rsidR="005B6EF9" w:rsidRDefault="005B6EF9" w:rsidP="005B6E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6508D" w14:textId="6A0CFF89" w:rsidR="005B6EF9" w:rsidRDefault="005B6EF9">
    <w:pPr>
      <w:pStyle w:val="Header"/>
    </w:pPr>
    <w:r>
      <w:rPr>
        <w:noProof/>
      </w:rPr>
      <w:pict w14:anchorId="0FB412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08235" o:spid="_x0000_s2050" type="#_x0000_t75" style="position:absolute;margin-left:0;margin-top:0;width:467.7pt;height:430.95pt;z-index:-251657216;mso-position-horizontal:center;mso-position-horizontal-relative:margin;mso-position-vertical:center;mso-position-vertical-relative:margin" o:allowincell="f">
          <v:imagedata r:id="rId1" o:title="Queens-logo-lockup-biology-vert-print-colour"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503DE" w14:textId="0A3B2E2A" w:rsidR="005B6EF9" w:rsidRDefault="005B6EF9">
    <w:pPr>
      <w:pStyle w:val="Header"/>
    </w:pPr>
    <w:r>
      <w:rPr>
        <w:noProof/>
      </w:rPr>
      <w:pict w14:anchorId="1B66B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08236" o:spid="_x0000_s2051" type="#_x0000_t75" style="position:absolute;margin-left:0;margin-top:0;width:467.7pt;height:430.95pt;z-index:-251656192;mso-position-horizontal:center;mso-position-horizontal-relative:margin;mso-position-vertical:center;mso-position-vertical-relative:margin" o:allowincell="f">
          <v:imagedata r:id="rId1" o:title="Queens-logo-lockup-biology-vert-print-colour"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6D901" w14:textId="6B3717F7" w:rsidR="005B6EF9" w:rsidRDefault="005B6EF9">
    <w:pPr>
      <w:pStyle w:val="Header"/>
    </w:pPr>
    <w:r>
      <w:rPr>
        <w:noProof/>
      </w:rPr>
      <w:pict w14:anchorId="3B9F51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08234" o:spid="_x0000_s2049" type="#_x0000_t75" style="position:absolute;margin-left:0;margin-top:0;width:467.7pt;height:430.95pt;z-index:-251658240;mso-position-horizontal:center;mso-position-horizontal-relative:margin;mso-position-vertical:center;mso-position-vertical-relative:margin" o:allowincell="f">
          <v:imagedata r:id="rId1" o:title="Queens-logo-lockup-biology-vert-print-colour"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18A"/>
    <w:rsid w:val="000A621C"/>
    <w:rsid w:val="00505711"/>
    <w:rsid w:val="005B6EF9"/>
    <w:rsid w:val="006977BA"/>
    <w:rsid w:val="006A6E79"/>
    <w:rsid w:val="00A261D0"/>
    <w:rsid w:val="00C6718A"/>
    <w:rsid w:val="00D83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A32913"/>
  <w15:chartTrackingRefBased/>
  <w15:docId w15:val="{4ED56F2D-018F-4462-82F8-A8CFC41C6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71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71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71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71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71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71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71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71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71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71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71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71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71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71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71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71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71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718A"/>
    <w:rPr>
      <w:rFonts w:eastAsiaTheme="majorEastAsia" w:cstheme="majorBidi"/>
      <w:color w:val="272727" w:themeColor="text1" w:themeTint="D8"/>
    </w:rPr>
  </w:style>
  <w:style w:type="paragraph" w:styleId="Title">
    <w:name w:val="Title"/>
    <w:basedOn w:val="Normal"/>
    <w:next w:val="Normal"/>
    <w:link w:val="TitleChar"/>
    <w:uiPriority w:val="10"/>
    <w:qFormat/>
    <w:rsid w:val="00C671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71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71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71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718A"/>
    <w:pPr>
      <w:spacing w:before="160"/>
      <w:jc w:val="center"/>
    </w:pPr>
    <w:rPr>
      <w:i/>
      <w:iCs/>
      <w:color w:val="404040" w:themeColor="text1" w:themeTint="BF"/>
    </w:rPr>
  </w:style>
  <w:style w:type="character" w:customStyle="1" w:styleId="QuoteChar">
    <w:name w:val="Quote Char"/>
    <w:basedOn w:val="DefaultParagraphFont"/>
    <w:link w:val="Quote"/>
    <w:uiPriority w:val="29"/>
    <w:rsid w:val="00C6718A"/>
    <w:rPr>
      <w:i/>
      <w:iCs/>
      <w:color w:val="404040" w:themeColor="text1" w:themeTint="BF"/>
    </w:rPr>
  </w:style>
  <w:style w:type="paragraph" w:styleId="ListParagraph">
    <w:name w:val="List Paragraph"/>
    <w:basedOn w:val="Normal"/>
    <w:uiPriority w:val="34"/>
    <w:qFormat/>
    <w:rsid w:val="00C6718A"/>
    <w:pPr>
      <w:ind w:left="720"/>
      <w:contextualSpacing/>
    </w:pPr>
  </w:style>
  <w:style w:type="character" w:styleId="IntenseEmphasis">
    <w:name w:val="Intense Emphasis"/>
    <w:basedOn w:val="DefaultParagraphFont"/>
    <w:uiPriority w:val="21"/>
    <w:qFormat/>
    <w:rsid w:val="00C6718A"/>
    <w:rPr>
      <w:i/>
      <w:iCs/>
      <w:color w:val="0F4761" w:themeColor="accent1" w:themeShade="BF"/>
    </w:rPr>
  </w:style>
  <w:style w:type="paragraph" w:styleId="IntenseQuote">
    <w:name w:val="Intense Quote"/>
    <w:basedOn w:val="Normal"/>
    <w:next w:val="Normal"/>
    <w:link w:val="IntenseQuoteChar"/>
    <w:uiPriority w:val="30"/>
    <w:qFormat/>
    <w:rsid w:val="00C671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718A"/>
    <w:rPr>
      <w:i/>
      <w:iCs/>
      <w:color w:val="0F4761" w:themeColor="accent1" w:themeShade="BF"/>
    </w:rPr>
  </w:style>
  <w:style w:type="character" w:styleId="IntenseReference">
    <w:name w:val="Intense Reference"/>
    <w:basedOn w:val="DefaultParagraphFont"/>
    <w:uiPriority w:val="32"/>
    <w:qFormat/>
    <w:rsid w:val="00C6718A"/>
    <w:rPr>
      <w:b/>
      <w:bCs/>
      <w:smallCaps/>
      <w:color w:val="0F4761" w:themeColor="accent1" w:themeShade="BF"/>
      <w:spacing w:val="5"/>
    </w:rPr>
  </w:style>
  <w:style w:type="paragraph" w:styleId="Header">
    <w:name w:val="header"/>
    <w:basedOn w:val="Normal"/>
    <w:link w:val="HeaderChar"/>
    <w:uiPriority w:val="99"/>
    <w:unhideWhenUsed/>
    <w:rsid w:val="005B6E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6EF9"/>
  </w:style>
  <w:style w:type="paragraph" w:styleId="Footer">
    <w:name w:val="footer"/>
    <w:basedOn w:val="Normal"/>
    <w:link w:val="FooterChar"/>
    <w:uiPriority w:val="99"/>
    <w:unhideWhenUsed/>
    <w:rsid w:val="005B6E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6E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1409D-05A5-4274-8C17-1D53DABCD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548</Words>
  <Characters>3125</Characters>
  <Application>Microsoft Office Word</Application>
  <DocSecurity>0</DocSecurity>
  <Lines>26</Lines>
  <Paragraphs>7</Paragraphs>
  <ScaleCrop>false</ScaleCrop>
  <Company/>
  <LinksUpToDate>false</LinksUpToDate>
  <CharactersWithSpaces>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Batson</dc:creator>
  <cp:keywords/>
  <dc:description/>
  <cp:lastModifiedBy>Rachel Batson</cp:lastModifiedBy>
  <cp:revision>2</cp:revision>
  <dcterms:created xsi:type="dcterms:W3CDTF">2025-12-12T19:38:00Z</dcterms:created>
  <dcterms:modified xsi:type="dcterms:W3CDTF">2025-12-12T19:42:00Z</dcterms:modified>
</cp:coreProperties>
</file>